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/>
        <w:rPr>
          <w:rFonts w:hint="eastAsia" w:ascii="方正黑体简体" w:eastAsia="方正黑体简体" w:cs="Times New Roman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0" w:name="_GoBack"/>
      <w:r>
        <w:rPr>
          <w:rFonts w:hint="eastAsia" w:ascii="方正黑体简体" w:eastAsia="方正黑体简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附件1</w:t>
      </w:r>
    </w:p>
    <w:p>
      <w:pPr>
        <w:spacing w:after="312" w:afterLines="100" w:line="600" w:lineRule="exact"/>
        <w:ind w:left="0"/>
        <w:jc w:val="center"/>
        <w:rPr>
          <w:rFonts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巴中发展控股集团有限公司</w:t>
      </w: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br w:type="textWrapping"/>
      </w: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市场化选聘下属企业</w:t>
      </w:r>
      <w:r>
        <w:rPr>
          <w:rFonts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领导班子人员</w:t>
      </w: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体检人员名单</w:t>
      </w:r>
    </w:p>
    <w:bookmarkEnd w:id="0"/>
    <w:tbl>
      <w:tblPr>
        <w:tblStyle w:val="3"/>
        <w:tblW w:w="12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66"/>
        <w:gridCol w:w="1114"/>
        <w:gridCol w:w="4875"/>
        <w:gridCol w:w="1628"/>
        <w:gridCol w:w="1232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  <w:t>岗位名称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面试成绩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岗位排名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付  阳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男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巴中市平昌县两山生态资源经营有限公司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执行董事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90.33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易  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男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巴中市平昌县两山生态资源经营有限公司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总工程师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88.00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苟  肖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男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巴中市</w:t>
            </w:r>
            <w:r>
              <w:rPr>
                <w:rFonts w:eastAsia="方正仿宋_GBK"/>
                <w:kern w:val="0"/>
                <w:sz w:val="24"/>
                <w:szCs w:val="24"/>
              </w:rPr>
              <w:t>通江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县两山生态资源经营有限公司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总工程师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86.17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ind w:left="0" w:firstLine="640" w:firstLineChars="200"/>
        <w:jc w:val="both"/>
        <w:rPr>
          <w:rFonts w:ascii="Times New Roman" w:hAnsi="Times New Roman" w:eastAsia="方正仿宋_GBK"/>
          <w:b w:val="0"/>
          <w:kern w:val="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47CB2"/>
    <w:rsid w:val="4374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2023-09-05T01:59:00Z</dcterms:created>
  <dc:creator>Lenovo</dc:creator>
  <cp:lastModifiedBy>Lenovo</cp:lastModifiedBy>
  <dcterms:modified xsi:type="dcterms:W3CDTF">2023-09-05T02:03:56Z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