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 w:val="0"/>
        <w:wordWrap w:val="0"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 w:val="0"/>
        <w:wordWrap w:val="0"/>
        <w:topLinePunct w:val="0"/>
        <w:bidi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巴中川陕革命老区振兴发展基金管理有限公司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财务人员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需求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一览表</w:t>
      </w:r>
    </w:p>
    <w:p>
      <w:pPr>
        <w:pStyle w:val="3"/>
        <w:keepNext w:val="0"/>
        <w:keepLines w:val="0"/>
        <w:pageBreakBefore w:val="0"/>
        <w:kinsoku w:val="0"/>
        <w:wordWrap w:val="0"/>
        <w:topLinePunct w:val="0"/>
        <w:bidi w:val="0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7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岗位</w:t>
            </w:r>
          </w:p>
        </w:tc>
        <w:tc>
          <w:tcPr>
            <w:tcW w:w="4365" w:type="pct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/>
                <w:b/>
                <w:bCs/>
                <w:sz w:val="26"/>
                <w:szCs w:val="26"/>
                <w:lang w:val="en-US" w:eastAsia="zh-CN"/>
              </w:rPr>
              <w:t>财务人员</w:t>
            </w:r>
            <w:r>
              <w:rPr>
                <w:rFonts w:hint="eastAsia" w:ascii="Times New Roman" w:hAnsi="Times New Roman" w:eastAsia="仿宋_GB2312"/>
                <w:b/>
                <w:bCs/>
                <w:sz w:val="26"/>
                <w:szCs w:val="26"/>
              </w:rPr>
              <w:t>（1人）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任职条件</w:t>
            </w:r>
          </w:p>
        </w:tc>
        <w:tc>
          <w:tcPr>
            <w:tcW w:w="436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财务/会计/审计相关专业，全日制本科及以上学历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本硕为985/211类院校的人员优先；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党员优先；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2.具有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中级会计职称或中级审计职称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；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通过CPA考试者优先；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有3年以上财务会计或审计实际操作工作经验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能够独立完成对企业财务审计工作并出具意见报告；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黑体" w:hAnsi="黑体" w:eastAsia="黑体" w:cs="黑体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能熟练操作财务软件，熟悉财政系统报表软件（快报、决算）；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hint="eastAsia" w:ascii="黑体" w:hAnsi="黑体" w:eastAsia="仿宋_GB2312" w:cs="黑体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5.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工作地点：巴中市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工作内容</w:t>
            </w:r>
          </w:p>
        </w:tc>
        <w:tc>
          <w:tcPr>
            <w:tcW w:w="4365" w:type="pct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1.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负责公司投资业务财务尽调、实地考察项目，撰写财务尽调报告，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做好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风险</w:t>
            </w: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提示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2.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与业务部门保持密切合作与沟通，监督风控政策制度落实情况，平衡好风险控制与业务发展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3.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负责参加公司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项目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评审会、投决会，出具专业意见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4.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负责监管被投资企业经济运行和财务管理监督工作，提出具体意见；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5.</w:t>
            </w:r>
            <w:r>
              <w:rPr>
                <w:rFonts w:ascii="Times New Roman" w:hAnsi="Times New Roman" w:eastAsia="仿宋_GB2312"/>
                <w:sz w:val="26"/>
                <w:szCs w:val="26"/>
              </w:rPr>
              <w:t>参与项目投后风险管理，进行风险评估，定期回访调查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6.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负责公司及项目公司的财务管理相关工作，按时出具报表和报告；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7.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审核公司及项目公司相关合同及票据等原始凭证，按照会计制度执行、监督项目公司财务运营情况；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8.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配合完成上级单位交办的审计、经济分析等工作；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/>
                <w:sz w:val="26"/>
                <w:szCs w:val="26"/>
                <w:lang w:val="en-US" w:eastAsia="zh-CN"/>
              </w:rPr>
              <w:t>9.</w:t>
            </w:r>
            <w:r>
              <w:rPr>
                <w:rFonts w:hint="eastAsia" w:ascii="Times New Roman" w:hAnsi="Times New Roman" w:eastAsia="仿宋_GB2312"/>
                <w:sz w:val="26"/>
                <w:szCs w:val="26"/>
              </w:rPr>
              <w:t>负责会计资料装订保管工作。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5" w:type="pct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薪资福利</w:t>
            </w:r>
          </w:p>
        </w:tc>
        <w:tc>
          <w:tcPr>
            <w:tcW w:w="4365" w:type="pct"/>
            <w:vAlign w:val="center"/>
          </w:tcPr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hint="default" w:ascii="Times New Roman" w:hAnsi="Times New Roman" w:eastAsia="仿宋_GB2312" w:cs="黑体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1.月薪8000元以上，有年终激励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特别优秀者待遇可面谈；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ascii="Times New Roman" w:hAnsi="Times New Roman" w:eastAsia="仿宋_GB2312" w:cs="黑体"/>
                <w:sz w:val="26"/>
                <w:szCs w:val="26"/>
              </w:rPr>
            </w:pP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2.</w:t>
            </w:r>
            <w:r>
              <w:rPr>
                <w:rFonts w:ascii="Times New Roman" w:hAnsi="Times New Roman" w:eastAsia="仿宋_GB2312" w:cs="黑体"/>
                <w:sz w:val="26"/>
                <w:szCs w:val="26"/>
              </w:rPr>
              <w:t>五险一金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（可购买成都或巴中），双休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年休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；</w:t>
            </w:r>
          </w:p>
          <w:p>
            <w:pPr>
              <w:keepNext w:val="0"/>
              <w:keepLines w:val="0"/>
              <w:pageBreakBefore w:val="0"/>
              <w:kinsoku w:val="0"/>
              <w:wordWrap w:val="0"/>
              <w:topLinePunct w:val="0"/>
              <w:bidi w:val="0"/>
              <w:spacing w:line="400" w:lineRule="exact"/>
              <w:jc w:val="left"/>
              <w:rPr>
                <w:rFonts w:hint="eastAsia" w:ascii="黑体" w:hAnsi="黑体" w:eastAsia="仿宋_GB2312" w:cs="黑体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3.享受</w:t>
            </w:r>
            <w:r>
              <w:rPr>
                <w:rFonts w:ascii="Times New Roman" w:hAnsi="Times New Roman" w:eastAsia="仿宋_GB2312" w:cs="黑体"/>
                <w:sz w:val="26"/>
                <w:szCs w:val="26"/>
              </w:rPr>
              <w:t>法定福利、员工福利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每年体检</w:t>
            </w:r>
            <w:r>
              <w:rPr>
                <w:rFonts w:ascii="Times New Roman" w:hAnsi="Times New Roman" w:eastAsia="仿宋_GB2312" w:cs="黑体"/>
                <w:sz w:val="26"/>
                <w:szCs w:val="26"/>
              </w:rPr>
              <w:t>、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三餐食堂，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巴中本地无房的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外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  <w:lang w:val="en-US" w:eastAsia="zh-CN"/>
              </w:rPr>
              <w:t>籍</w:t>
            </w:r>
            <w:r>
              <w:rPr>
                <w:rFonts w:hint="eastAsia" w:ascii="Times New Roman" w:hAnsi="Times New Roman" w:eastAsia="仿宋_GB2312" w:cs="黑体"/>
                <w:sz w:val="26"/>
                <w:szCs w:val="26"/>
              </w:rPr>
              <w:t>工作者有适当租房补贴。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文鼎CS仿宋体">
    <w:altName w:val="仿宋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41227"/>
    <w:rsid w:val="10C4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680"/>
    </w:pPr>
    <w:rPr>
      <w:rFonts w:eastAsia="文鼎CS仿宋体"/>
      <w:sz w:val="32"/>
      <w:szCs w:val="32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2024-07-31T08:53:00Z</dcterms:created>
  <dc:creator>user</dc:creator>
  <cp:lastModifiedBy>user</cp:lastModifiedBy>
  <dcterms:modified xsi:type="dcterms:W3CDTF">2024-07-31T08:53:45Z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