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927C8">
      <w:pPr>
        <w:keepNext w:val="0"/>
        <w:keepLines w:val="0"/>
        <w:pageBreakBefore w:val="0"/>
        <w:widowControl w:val="0"/>
        <w:kinsoku/>
        <w:wordWrap/>
        <w:overflowPunct/>
        <w:topLinePunct w:val="0"/>
        <w:autoSpaceDE/>
        <w:autoSpaceDN/>
        <w:bidi w:val="0"/>
        <w:adjustRightInd/>
        <w:snapToGrid/>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巴中发展控股集团有限公司</w:t>
      </w:r>
    </w:p>
    <w:p w14:paraId="0F7C745F">
      <w:pPr>
        <w:keepNext w:val="0"/>
        <w:keepLines w:val="0"/>
        <w:pageBreakBefore w:val="0"/>
        <w:widowControl w:val="0"/>
        <w:kinsoku/>
        <w:wordWrap/>
        <w:overflowPunct/>
        <w:topLinePunct w:val="0"/>
        <w:autoSpaceDE/>
        <w:autoSpaceDN/>
        <w:bidi w:val="0"/>
        <w:adjustRightInd/>
        <w:snapToGrid/>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简  介</w:t>
      </w:r>
    </w:p>
    <w:p w14:paraId="30F667E3">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方正仿宋简体" w:cs="Times New Roman"/>
          <w:sz w:val="32"/>
          <w:szCs w:val="32"/>
        </w:rPr>
      </w:pPr>
    </w:p>
    <w:p w14:paraId="0C375FA9">
      <w:pPr>
        <w:keepNext w:val="0"/>
        <w:keepLines w:val="0"/>
        <w:pageBreakBefore w:val="0"/>
        <w:widowControl w:val="0"/>
        <w:wordWrap/>
        <w:overflowPunct/>
        <w:topLinePunct w:val="0"/>
        <w:autoSpaceDE/>
        <w:autoSpaceDN/>
        <w:bidi w:val="0"/>
        <w:adjustRightInd/>
        <w:snapToGrid/>
        <w:spacing w:line="560" w:lineRule="exact"/>
        <w:ind w:firstLine="640" w:firstLineChars="200"/>
        <w:rPr>
          <w:rFonts w:hint="default" w:ascii="Times New Roman" w:hAnsi="Times New Roman" w:eastAsia="方正仿宋简体" w:cs="Times New Roman"/>
          <w:sz w:val="32"/>
        </w:rPr>
      </w:pPr>
      <w:r>
        <w:rPr>
          <w:rFonts w:hint="default" w:ascii="Times New Roman" w:hAnsi="Times New Roman" w:eastAsia="方正仿宋简体" w:cs="Times New Roman"/>
          <w:sz w:val="32"/>
          <w:szCs w:val="32"/>
        </w:rPr>
        <w:t>巴中发展控股集团</w:t>
      </w:r>
      <w:r>
        <w:rPr>
          <w:rFonts w:hint="default" w:ascii="Times New Roman" w:hAnsi="Times New Roman" w:eastAsia="方正仿宋简体" w:cs="Times New Roman"/>
          <w:sz w:val="32"/>
          <w:szCs w:val="32"/>
          <w:lang w:val="en-US" w:eastAsia="zh-CN"/>
        </w:rPr>
        <w:t>有限公</w:t>
      </w:r>
      <w:r>
        <w:rPr>
          <w:rFonts w:hint="default" w:ascii="Times New Roman" w:hAnsi="Times New Roman" w:eastAsia="方正仿宋简体" w:cs="Times New Roman"/>
          <w:sz w:val="32"/>
          <w:lang w:val="en-US" w:eastAsia="zh-CN"/>
        </w:rPr>
        <w:t>司于</w:t>
      </w:r>
      <w:r>
        <w:rPr>
          <w:rFonts w:hint="default" w:ascii="Times New Roman" w:hAnsi="Times New Roman" w:eastAsia="方正仿宋简体" w:cs="Times New Roman"/>
          <w:sz w:val="32"/>
          <w:szCs w:val="32"/>
        </w:rPr>
        <w:t>2021年9月</w:t>
      </w:r>
      <w:r>
        <w:rPr>
          <w:rFonts w:hint="default" w:ascii="Times New Roman" w:hAnsi="Times New Roman" w:eastAsia="方正仿宋简体" w:cs="Times New Roman"/>
          <w:sz w:val="32"/>
          <w:lang w:val="en-US" w:eastAsia="zh-CN"/>
        </w:rPr>
        <w:t>经改制组建成立，注册资本20亿元，是</w:t>
      </w:r>
      <w:r>
        <w:rPr>
          <w:rFonts w:hint="default" w:ascii="Times New Roman" w:hAnsi="Times New Roman" w:eastAsia="方正仿宋简体" w:cs="Times New Roman"/>
          <w:sz w:val="32"/>
          <w:szCs w:val="32"/>
          <w:lang w:val="en-US" w:eastAsia="zh-CN"/>
        </w:rPr>
        <w:t>巴中</w:t>
      </w:r>
      <w:r>
        <w:rPr>
          <w:rFonts w:hint="default" w:ascii="Times New Roman" w:hAnsi="Times New Roman" w:eastAsia="方正仿宋简体" w:cs="Times New Roman"/>
          <w:sz w:val="32"/>
        </w:rPr>
        <w:t>市属国有独资企业</w:t>
      </w:r>
      <w:r>
        <w:rPr>
          <w:rFonts w:hint="eastAsia" w:ascii="Times New Roman" w:hAnsi="Times New Roman" w:eastAsia="方正仿宋简体" w:cs="Times New Roman"/>
          <w:sz w:val="32"/>
          <w:lang w:eastAsia="zh-CN"/>
        </w:rPr>
        <w:t>、</w:t>
      </w:r>
      <w:r>
        <w:rPr>
          <w:rFonts w:hint="default" w:ascii="Times New Roman" w:hAnsi="Times New Roman" w:eastAsia="方正仿宋简体" w:cs="Times New Roman"/>
          <w:sz w:val="32"/>
        </w:rPr>
        <w:t>四川省投资协会理事单位，主体信用等级AA+。</w:t>
      </w:r>
    </w:p>
    <w:p w14:paraId="640EB91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集团控股一级企业</w:t>
      </w:r>
      <w:r>
        <w:rPr>
          <w:rFonts w:hint="eastAsia" w:ascii="Times New Roman" w:hAnsi="Times New Roman" w:eastAsia="方正仿宋简体" w:cs="Times New Roman"/>
          <w:sz w:val="32"/>
          <w:szCs w:val="32"/>
          <w:lang w:val="en-US" w:eastAsia="zh-CN"/>
        </w:rPr>
        <w:t>巴中</w:t>
      </w:r>
      <w:r>
        <w:rPr>
          <w:rFonts w:hint="default" w:ascii="Times New Roman" w:hAnsi="Times New Roman" w:eastAsia="方正仿宋简体" w:cs="Times New Roman"/>
          <w:sz w:val="32"/>
          <w:szCs w:val="32"/>
        </w:rPr>
        <w:t>市国</w:t>
      </w:r>
      <w:r>
        <w:rPr>
          <w:rFonts w:hint="eastAsia" w:ascii="Times New Roman" w:hAnsi="Times New Roman" w:eastAsia="方正仿宋简体" w:cs="Times New Roman"/>
          <w:sz w:val="32"/>
          <w:szCs w:val="32"/>
          <w:lang w:val="en-US" w:eastAsia="zh-CN"/>
        </w:rPr>
        <w:t>有</w:t>
      </w:r>
      <w:r>
        <w:rPr>
          <w:rFonts w:hint="default" w:ascii="Times New Roman" w:hAnsi="Times New Roman" w:eastAsia="方正仿宋简体" w:cs="Times New Roman"/>
          <w:sz w:val="32"/>
          <w:szCs w:val="32"/>
        </w:rPr>
        <w:t>资</w:t>
      </w:r>
      <w:r>
        <w:rPr>
          <w:rFonts w:hint="eastAsia" w:ascii="Times New Roman" w:hAnsi="Times New Roman" w:eastAsia="方正仿宋简体" w:cs="Times New Roman"/>
          <w:sz w:val="32"/>
          <w:szCs w:val="32"/>
          <w:lang w:val="en-US" w:eastAsia="zh-CN"/>
        </w:rPr>
        <w:t>本</w:t>
      </w:r>
      <w:r>
        <w:rPr>
          <w:rFonts w:hint="default" w:ascii="Times New Roman" w:hAnsi="Times New Roman" w:eastAsia="方正仿宋简体" w:cs="Times New Roman"/>
          <w:sz w:val="32"/>
          <w:szCs w:val="32"/>
        </w:rPr>
        <w:t>运营集团</w:t>
      </w:r>
      <w:r>
        <w:rPr>
          <w:rFonts w:hint="eastAsia" w:ascii="Times New Roman" w:hAnsi="Times New Roman" w:eastAsia="方正仿宋简体" w:cs="Times New Roman"/>
          <w:sz w:val="32"/>
          <w:szCs w:val="32"/>
          <w:lang w:val="en-US" w:eastAsia="zh-CN"/>
        </w:rPr>
        <w:t>有限公司</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巴中</w:t>
      </w:r>
      <w:r>
        <w:rPr>
          <w:rFonts w:hint="default" w:ascii="Times New Roman" w:hAnsi="Times New Roman" w:eastAsia="方正仿宋简体" w:cs="Times New Roman"/>
          <w:sz w:val="32"/>
          <w:szCs w:val="32"/>
        </w:rPr>
        <w:t>市产业</w:t>
      </w:r>
      <w:r>
        <w:rPr>
          <w:rFonts w:hint="eastAsia" w:ascii="Times New Roman" w:hAnsi="Times New Roman" w:eastAsia="方正仿宋简体" w:cs="Times New Roman"/>
          <w:sz w:val="32"/>
          <w:szCs w:val="32"/>
          <w:lang w:val="en-US" w:eastAsia="zh-CN"/>
        </w:rPr>
        <w:t>发展</w:t>
      </w:r>
      <w:r>
        <w:rPr>
          <w:rFonts w:hint="default" w:ascii="Times New Roman" w:hAnsi="Times New Roman" w:eastAsia="方正仿宋简体" w:cs="Times New Roman"/>
          <w:sz w:val="32"/>
          <w:szCs w:val="32"/>
        </w:rPr>
        <w:t>集团</w:t>
      </w:r>
      <w:r>
        <w:rPr>
          <w:rFonts w:hint="eastAsia" w:ascii="Times New Roman" w:hAnsi="Times New Roman" w:eastAsia="方正仿宋简体" w:cs="Times New Roman"/>
          <w:sz w:val="32"/>
          <w:szCs w:val="32"/>
          <w:lang w:val="en-US" w:eastAsia="zh-CN"/>
        </w:rPr>
        <w:t>有限公司</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巴中市</w:t>
      </w:r>
      <w:r>
        <w:rPr>
          <w:rFonts w:hint="default" w:ascii="Times New Roman" w:hAnsi="Times New Roman" w:eastAsia="方正仿宋简体" w:cs="Times New Roman"/>
          <w:sz w:val="32"/>
          <w:szCs w:val="32"/>
        </w:rPr>
        <w:t>文</w:t>
      </w:r>
      <w:r>
        <w:rPr>
          <w:rFonts w:hint="eastAsia" w:ascii="Times New Roman" w:hAnsi="Times New Roman" w:eastAsia="方正仿宋简体" w:cs="Times New Roman"/>
          <w:sz w:val="32"/>
          <w:szCs w:val="32"/>
          <w:lang w:val="en-US" w:eastAsia="zh-CN"/>
        </w:rPr>
        <w:t>化旅游发展集团有限公司</w:t>
      </w:r>
      <w:r>
        <w:rPr>
          <w:rFonts w:hint="default"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直接管理二级企业巴中市鑫汇金融服务公司、巴中两山生态资源资产经营有限公司、巴中川陕革命老区振兴发展投资有限公司、巴中低空经济产业发展有限公司，下辖三级企业16家，业务涵盖融资担保、应急转贷、保险经纪、基金投资、产权交易、咨询服务、低空经济、能源化工、先进材料、生态环保、碳汇资源开发、</w:t>
      </w:r>
      <w:r>
        <w:rPr>
          <w:rFonts w:hint="default" w:ascii="Times New Roman" w:hAnsi="Times New Roman" w:eastAsia="方正仿宋简体" w:cs="Times New Roman"/>
          <w:sz w:val="32"/>
          <w:szCs w:val="32"/>
        </w:rPr>
        <w:t>碳</w:t>
      </w:r>
      <w:r>
        <w:rPr>
          <w:rFonts w:hint="eastAsia" w:ascii="Times New Roman" w:hAnsi="Times New Roman" w:eastAsia="方正仿宋简体" w:cs="Times New Roman"/>
          <w:sz w:val="32"/>
          <w:szCs w:val="32"/>
          <w:lang w:val="en-US" w:eastAsia="zh-CN"/>
        </w:rPr>
        <w:t>资产管理、商服用地开发等，现有员工220余人。</w:t>
      </w:r>
    </w:p>
    <w:p w14:paraId="2E84AFE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截至</w:t>
      </w:r>
      <w:r>
        <w:rPr>
          <w:rFonts w:hint="default" w:ascii="Times New Roman" w:hAnsi="Times New Roman" w:eastAsia="方正仿宋简体" w:cs="Times New Roman"/>
          <w:sz w:val="32"/>
          <w:szCs w:val="32"/>
        </w:rPr>
        <w:t>2024年末，集团</w:t>
      </w:r>
      <w:r>
        <w:rPr>
          <w:rFonts w:hint="eastAsia" w:ascii="Times New Roman" w:hAnsi="Times New Roman" w:eastAsia="方正仿宋简体" w:cs="Times New Roman"/>
          <w:sz w:val="32"/>
          <w:szCs w:val="32"/>
          <w:lang w:val="en-US" w:eastAsia="zh-CN"/>
        </w:rPr>
        <w:t>合并报表</w:t>
      </w:r>
      <w:r>
        <w:rPr>
          <w:rFonts w:hint="default" w:ascii="Times New Roman" w:hAnsi="Times New Roman" w:eastAsia="方正仿宋简体" w:cs="Times New Roman"/>
          <w:sz w:val="32"/>
          <w:szCs w:val="32"/>
        </w:rPr>
        <w:t>资产总额约117</w:t>
      </w:r>
      <w:r>
        <w:rPr>
          <w:rFonts w:hint="default"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亿元、净资产约485亿元，实现营业收入约44亿元</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利润总额约2亿元。</w:t>
      </w:r>
      <w:bookmarkStart w:id="0" w:name="_GoBack"/>
      <w:bookmarkEnd w:id="0"/>
    </w:p>
    <w:p w14:paraId="43C5A048">
      <w:pPr>
        <w:keepNext w:val="0"/>
        <w:keepLines w:val="0"/>
        <w:pageBreakBefore w:val="0"/>
        <w:widowControl w:val="0"/>
        <w:wordWrap/>
        <w:overflowPunct/>
        <w:topLinePunct w:val="0"/>
        <w:autoSpaceDE/>
        <w:autoSpaceDN/>
        <w:bidi w:val="0"/>
        <w:adjustRightInd/>
        <w:snapToGrid/>
        <w:spacing w:line="560" w:lineRule="exact"/>
        <w:ind w:firstLine="640" w:firstLineChars="200"/>
        <w:rPr>
          <w:rFonts w:hint="default" w:ascii="Times New Roman" w:hAnsi="Times New Roman" w:eastAsia="方正仿宋简体" w:cs="Times New Roman"/>
          <w:sz w:val="32"/>
          <w:lang w:val="en-US" w:eastAsia="zh-CN"/>
        </w:rPr>
      </w:pPr>
      <w:r>
        <w:rPr>
          <w:rFonts w:hint="eastAsia" w:ascii="Times New Roman" w:hAnsi="Times New Roman" w:eastAsia="方正仿宋简体" w:cs="Times New Roman"/>
          <w:sz w:val="32"/>
          <w:lang w:val="en-US" w:eastAsia="zh-CN"/>
        </w:rPr>
        <w:t>自成立以来，集团坚决贯彻市委、市政府决策部署，主动服务“一市四区三地”建设，塑造“专以致精，诚以致远”核心价值观，锚定“成为全省前列、西部一流的国有资本投资控股集团”的发展目标，深入推进</w:t>
      </w:r>
      <w:r>
        <w:rPr>
          <w:rFonts w:hint="default" w:ascii="Times New Roman" w:hAnsi="Times New Roman" w:eastAsia="方正仿宋简体" w:cs="Times New Roman"/>
          <w:sz w:val="32"/>
          <w:lang w:val="en-US" w:eastAsia="zh-CN"/>
        </w:rPr>
        <w:t>国企改革深化提升行动</w:t>
      </w:r>
      <w:r>
        <w:rPr>
          <w:rFonts w:hint="eastAsia" w:ascii="Times New Roman" w:hAnsi="Times New Roman" w:eastAsia="方正仿宋简体" w:cs="Times New Roman"/>
          <w:sz w:val="32"/>
          <w:lang w:val="en-US" w:eastAsia="zh-CN"/>
        </w:rPr>
        <w:t>和</w:t>
      </w:r>
      <w:r>
        <w:rPr>
          <w:rFonts w:hint="default" w:ascii="Times New Roman" w:hAnsi="Times New Roman" w:eastAsia="方正仿宋简体" w:cs="Times New Roman"/>
          <w:sz w:val="32"/>
          <w:lang w:val="en-US" w:eastAsia="zh-CN"/>
        </w:rPr>
        <w:t>市场化、实体化转型发展</w:t>
      </w:r>
      <w:r>
        <w:rPr>
          <w:rFonts w:hint="eastAsia" w:ascii="Times New Roman" w:hAnsi="Times New Roman" w:eastAsia="方正仿宋简体" w:cs="Times New Roman"/>
          <w:sz w:val="32"/>
          <w:lang w:val="en-US" w:eastAsia="zh-CN"/>
        </w:rPr>
        <w:t>，</w:t>
      </w:r>
      <w:r>
        <w:rPr>
          <w:rFonts w:hint="default" w:ascii="Times New Roman" w:hAnsi="Times New Roman" w:eastAsia="方正仿宋简体" w:cs="Times New Roman"/>
          <w:sz w:val="32"/>
          <w:lang w:val="en-US" w:eastAsia="zh-CN"/>
        </w:rPr>
        <w:t>实行“金融+实业”双轮驱动，</w:t>
      </w:r>
      <w:r>
        <w:rPr>
          <w:rFonts w:hint="eastAsia" w:ascii="Times New Roman" w:hAnsi="Times New Roman" w:eastAsia="方正仿宋简体" w:cs="Times New Roman"/>
          <w:sz w:val="32"/>
          <w:szCs w:val="32"/>
          <w:lang w:val="en-US" w:eastAsia="zh-CN"/>
        </w:rPr>
        <w:t>重点</w:t>
      </w:r>
      <w:r>
        <w:rPr>
          <w:rFonts w:hint="default" w:ascii="Times New Roman" w:hAnsi="Times New Roman" w:eastAsia="方正仿宋简体" w:cs="Times New Roman"/>
          <w:sz w:val="32"/>
          <w:szCs w:val="32"/>
        </w:rPr>
        <w:t>做活金融服务、做大基金投资、做强</w:t>
      </w:r>
      <w:r>
        <w:rPr>
          <w:rFonts w:hint="eastAsia" w:ascii="Times New Roman" w:hAnsi="Times New Roman" w:eastAsia="方正仿宋简体" w:cs="Times New Roman"/>
          <w:sz w:val="32"/>
          <w:szCs w:val="32"/>
          <w:lang w:val="en-US" w:eastAsia="zh-CN"/>
        </w:rPr>
        <w:t>实体</w:t>
      </w:r>
      <w:r>
        <w:rPr>
          <w:rFonts w:hint="default" w:ascii="Times New Roman" w:hAnsi="Times New Roman" w:eastAsia="方正仿宋简体" w:cs="Times New Roman"/>
          <w:sz w:val="32"/>
          <w:szCs w:val="32"/>
        </w:rPr>
        <w:t>产业。</w:t>
      </w:r>
    </w:p>
    <w:p w14:paraId="0A22529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做活金融服务。</w:t>
      </w:r>
      <w:r>
        <w:rPr>
          <w:rFonts w:hint="default" w:ascii="Times New Roman" w:hAnsi="Times New Roman" w:eastAsia="方正仿宋简体" w:cs="Times New Roman"/>
          <w:b w:val="0"/>
          <w:bCs w:val="0"/>
          <w:sz w:val="32"/>
          <w:szCs w:val="32"/>
          <w:u w:val="none"/>
          <w:lang w:val="en-US" w:eastAsia="zh-CN"/>
        </w:rPr>
        <w:t>巩固提升应急转贷、融资担保、产权交易</w:t>
      </w:r>
      <w:r>
        <w:rPr>
          <w:rFonts w:hint="eastAsia" w:ascii="Times New Roman" w:hAnsi="Times New Roman" w:eastAsia="方正仿宋简体" w:cs="Times New Roman"/>
          <w:b w:val="0"/>
          <w:bCs w:val="0"/>
          <w:sz w:val="32"/>
          <w:szCs w:val="32"/>
          <w:u w:val="none"/>
          <w:lang w:val="en-US" w:eastAsia="zh-CN"/>
        </w:rPr>
        <w:t>、阳光采购</w:t>
      </w:r>
      <w:r>
        <w:rPr>
          <w:rFonts w:hint="default" w:ascii="Times New Roman" w:hAnsi="Times New Roman" w:eastAsia="方正仿宋简体" w:cs="Times New Roman"/>
          <w:b w:val="0"/>
          <w:bCs w:val="0"/>
          <w:sz w:val="32"/>
          <w:szCs w:val="32"/>
          <w:u w:val="none"/>
          <w:lang w:val="en-US" w:eastAsia="zh-CN"/>
        </w:rPr>
        <w:t>业务，</w:t>
      </w:r>
      <w:r>
        <w:rPr>
          <w:rFonts w:hint="eastAsia" w:ascii="Times New Roman" w:hAnsi="Times New Roman" w:eastAsia="方正仿宋简体" w:cs="Times New Roman"/>
          <w:b w:val="0"/>
          <w:bCs w:val="0"/>
          <w:sz w:val="32"/>
          <w:szCs w:val="32"/>
          <w:u w:val="none"/>
          <w:lang w:val="en-US" w:eastAsia="zh-CN"/>
        </w:rPr>
        <w:t>加快布局保险经纪、资产管理、</w:t>
      </w:r>
      <w:r>
        <w:rPr>
          <w:rFonts w:hint="default" w:ascii="Times New Roman" w:hAnsi="Times New Roman" w:eastAsia="方正仿宋简体" w:cs="Times New Roman"/>
          <w:sz w:val="32"/>
          <w:szCs w:val="32"/>
          <w:lang w:val="en-US" w:eastAsia="zh-CN"/>
        </w:rPr>
        <w:t>小额贷款、拍卖等业务</w:t>
      </w:r>
      <w:r>
        <w:rPr>
          <w:rFonts w:hint="eastAsia" w:ascii="Times New Roman" w:hAnsi="Times New Roman" w:eastAsia="方正仿宋简体" w:cs="Times New Roman"/>
          <w:sz w:val="32"/>
          <w:szCs w:val="32"/>
          <w:lang w:val="en-US" w:eastAsia="zh-CN"/>
        </w:rPr>
        <w:t>，建设</w:t>
      </w:r>
      <w:r>
        <w:rPr>
          <w:rFonts w:hint="default" w:ascii="Times New Roman" w:hAnsi="Times New Roman" w:eastAsia="方正仿宋简体" w:cs="Times New Roman"/>
          <w:sz w:val="32"/>
          <w:szCs w:val="32"/>
          <w:lang w:val="en-US" w:eastAsia="zh-CN"/>
        </w:rPr>
        <w:t>综合金融服务科技平台，</w:t>
      </w:r>
      <w:r>
        <w:rPr>
          <w:rFonts w:hint="eastAsia" w:ascii="Times New Roman" w:hAnsi="Times New Roman" w:eastAsia="方正仿宋简体" w:cs="Times New Roman"/>
          <w:sz w:val="32"/>
          <w:szCs w:val="32"/>
          <w:lang w:val="en-US" w:eastAsia="zh-CN"/>
        </w:rPr>
        <w:t>力争2025年取得AAA主体信用等级</w:t>
      </w:r>
      <w:r>
        <w:rPr>
          <w:rFonts w:hint="default" w:ascii="Times New Roman" w:hAnsi="Times New Roman" w:eastAsia="方正仿宋简体" w:cs="Times New Roman"/>
          <w:sz w:val="32"/>
          <w:szCs w:val="32"/>
          <w:lang w:val="en-US" w:eastAsia="zh-CN"/>
        </w:rPr>
        <w:t>。</w:t>
      </w:r>
    </w:p>
    <w:p w14:paraId="3B5FED3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做大投资业务。</w:t>
      </w:r>
      <w:r>
        <w:rPr>
          <w:rFonts w:hint="eastAsia" w:ascii="Times New Roman" w:hAnsi="Times New Roman" w:eastAsia="方正仿宋简体" w:cs="Times New Roman"/>
          <w:sz w:val="32"/>
          <w:szCs w:val="32"/>
          <w:lang w:val="en-US" w:eastAsia="zh-CN"/>
        </w:rPr>
        <w:t>持续扩大基金管理规模，积极推进市县（区）基金“一盘棋”统筹格局构建；围绕</w:t>
      </w:r>
      <w:r>
        <w:rPr>
          <w:rFonts w:hint="default" w:ascii="Times New Roman" w:hAnsi="Times New Roman" w:eastAsia="方正仿宋简体" w:cs="Times New Roman"/>
          <w:b w:val="0"/>
          <w:bCs w:val="0"/>
          <w:sz w:val="32"/>
          <w:szCs w:val="32"/>
          <w:u w:val="none"/>
          <w:lang w:val="en-US" w:eastAsia="zh-CN"/>
        </w:rPr>
        <w:t>全市</w:t>
      </w:r>
      <w:r>
        <w:rPr>
          <w:rFonts w:hint="default" w:ascii="Times New Roman" w:hAnsi="Times New Roman" w:eastAsia="仿宋" w:cs="Times New Roman"/>
          <w:b w:val="0"/>
          <w:bCs w:val="0"/>
          <w:color w:val="auto"/>
          <w:sz w:val="32"/>
          <w:szCs w:val="32"/>
          <w:u w:val="none"/>
          <w:lang w:val="en-US" w:eastAsia="zh-CN"/>
        </w:rPr>
        <w:t>“5+2+3”</w:t>
      </w:r>
      <w:r>
        <w:rPr>
          <w:rFonts w:hint="eastAsia" w:ascii="Times New Roman" w:hAnsi="Times New Roman" w:eastAsia="仿宋" w:cs="Times New Roman"/>
          <w:b w:val="0"/>
          <w:bCs w:val="0"/>
          <w:color w:val="auto"/>
          <w:sz w:val="32"/>
          <w:szCs w:val="32"/>
          <w:u w:val="none"/>
          <w:lang w:val="en-US" w:eastAsia="zh-CN"/>
        </w:rPr>
        <w:t>重点</w:t>
      </w:r>
      <w:r>
        <w:rPr>
          <w:rFonts w:hint="default" w:ascii="Times New Roman" w:hAnsi="Times New Roman" w:eastAsia="仿宋" w:cs="Times New Roman"/>
          <w:b w:val="0"/>
          <w:bCs w:val="0"/>
          <w:color w:val="auto"/>
          <w:sz w:val="32"/>
          <w:szCs w:val="32"/>
          <w:u w:val="none"/>
          <w:lang w:val="en-US" w:eastAsia="zh-CN"/>
        </w:rPr>
        <w:t>产业及</w:t>
      </w:r>
      <w:r>
        <w:rPr>
          <w:rFonts w:hint="eastAsia" w:ascii="Times New Roman" w:hAnsi="Times New Roman" w:eastAsia="仿宋" w:cs="Times New Roman"/>
          <w:b w:val="0"/>
          <w:bCs w:val="0"/>
          <w:color w:val="auto"/>
          <w:sz w:val="32"/>
          <w:szCs w:val="32"/>
          <w:u w:val="none"/>
          <w:lang w:val="en-US" w:eastAsia="zh-CN"/>
        </w:rPr>
        <w:t>19条</w:t>
      </w:r>
      <w:r>
        <w:rPr>
          <w:rFonts w:hint="default" w:ascii="Times New Roman" w:hAnsi="Times New Roman" w:eastAsia="方正仿宋简体" w:cs="Times New Roman"/>
          <w:b w:val="0"/>
          <w:bCs w:val="0"/>
          <w:sz w:val="32"/>
          <w:szCs w:val="32"/>
          <w:u w:val="none"/>
          <w:lang w:val="en-US" w:eastAsia="zh-CN"/>
        </w:rPr>
        <w:t>细分赛道</w:t>
      </w:r>
      <w:r>
        <w:rPr>
          <w:rFonts w:hint="eastAsia" w:ascii="Times New Roman" w:hAnsi="Times New Roman" w:eastAsia="方正仿宋简体" w:cs="Times New Roman"/>
          <w:b w:val="0"/>
          <w:bCs w:val="0"/>
          <w:sz w:val="32"/>
          <w:szCs w:val="32"/>
          <w:u w:val="none"/>
          <w:lang w:val="en-US" w:eastAsia="zh-CN"/>
        </w:rPr>
        <w:t>，</w:t>
      </w:r>
      <w:r>
        <w:rPr>
          <w:rFonts w:hint="eastAsia" w:ascii="Times New Roman" w:hAnsi="Times New Roman" w:eastAsia="方正仿宋简体" w:cs="Times New Roman"/>
          <w:sz w:val="32"/>
          <w:szCs w:val="32"/>
          <w:lang w:val="en-US" w:eastAsia="zh-CN"/>
        </w:rPr>
        <w:t>同步增强</w:t>
      </w:r>
      <w:r>
        <w:rPr>
          <w:rFonts w:hint="default" w:ascii="Times New Roman" w:hAnsi="Times New Roman" w:eastAsia="方正仿宋简体" w:cs="Times New Roman"/>
          <w:sz w:val="32"/>
          <w:szCs w:val="32"/>
          <w:lang w:val="en-US" w:eastAsia="zh-CN"/>
        </w:rPr>
        <w:t>集团直投和基金投资</w:t>
      </w:r>
      <w:r>
        <w:rPr>
          <w:rFonts w:hint="eastAsia" w:ascii="Times New Roman" w:hAnsi="Times New Roman" w:eastAsia="方正仿宋简体" w:cs="Times New Roman"/>
          <w:sz w:val="32"/>
          <w:szCs w:val="32"/>
          <w:lang w:val="en-US" w:eastAsia="zh-CN"/>
        </w:rPr>
        <w:t>力度</w:t>
      </w:r>
      <w:r>
        <w:rPr>
          <w:rFonts w:hint="default" w:ascii="Times New Roman" w:hAnsi="Times New Roman" w:eastAsia="方正仿宋简体" w:cs="Times New Roman"/>
          <w:sz w:val="32"/>
          <w:szCs w:val="32"/>
          <w:lang w:val="en-US" w:eastAsia="zh-CN"/>
        </w:rPr>
        <w:t>，重点投向低空经济、能源化工、新材料、生物医药、先进电池、电子元器件、食品饮料等领域。</w:t>
      </w:r>
    </w:p>
    <w:p w14:paraId="0C65985F">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做强实体产业。</w:t>
      </w:r>
      <w:r>
        <w:rPr>
          <w:rFonts w:hint="eastAsia" w:ascii="Times New Roman" w:hAnsi="Times New Roman" w:eastAsia="方正仿宋简体" w:cs="Times New Roman"/>
          <w:sz w:val="32"/>
          <w:szCs w:val="32"/>
          <w:lang w:val="en-US" w:eastAsia="zh-CN"/>
        </w:rPr>
        <w:t>能源化工方面，组建</w:t>
      </w:r>
      <w:r>
        <w:rPr>
          <w:rFonts w:hint="default" w:ascii="Times New Roman Regular" w:hAnsi="Times New Roman Regular" w:eastAsia="方正仿宋简体" w:cs="Times New Roman Regular"/>
          <w:color w:val="auto"/>
          <w:kern w:val="2"/>
          <w:sz w:val="32"/>
          <w:szCs w:val="32"/>
          <w:lang w:val="en-US" w:eastAsia="zh-CN" w:bidi="ar-SA"/>
        </w:rPr>
        <w:t>巴中能源发展集团有限公司</w:t>
      </w:r>
      <w:r>
        <w:rPr>
          <w:rFonts w:hint="eastAsia" w:ascii="Times New Roman" w:hAnsi="Times New Roman" w:eastAsia="方正仿宋简体" w:cs="Times New Roman"/>
          <w:sz w:val="32"/>
          <w:szCs w:val="32"/>
          <w:lang w:val="en-US" w:eastAsia="zh-CN"/>
        </w:rPr>
        <w:t>，牵头实施全市油气管网建设，与央、省国企合作参与油气勘探，同步培育下游高附加值产业。低空经济方面，以巴中低空经济产业发展有限公司为全市低空资源开发与产业运营主体，建成“数字巴中”低空数智安全底座应用系统和低空调度指挥运营平台，到2027年部署无人值守机库100套、临时起降点50个，开展全市低空政务场景应用，布局“低空+文旅”、“低空+教培”、“低空+物流”业务，参与低空产业制造。绿色环保方面，</w:t>
      </w:r>
      <w:r>
        <w:rPr>
          <w:rFonts w:hint="default" w:ascii="Times New Roman" w:hAnsi="Times New Roman" w:eastAsia="方正仿宋简体" w:cs="Times New Roman"/>
          <w:sz w:val="32"/>
          <w:szCs w:val="32"/>
          <w:lang w:val="en-US" w:eastAsia="zh-CN"/>
        </w:rPr>
        <w:t>统筹实施巴中市国家储备林项目建设、生态产品价值转化、碳汇项目开发</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大力发展林下经济、木材精深加工</w:t>
      </w:r>
      <w:r>
        <w:rPr>
          <w:rFonts w:hint="eastAsia" w:ascii="Times New Roman" w:hAnsi="Times New Roman" w:eastAsia="方正仿宋简体" w:cs="Times New Roman"/>
          <w:sz w:val="32"/>
          <w:szCs w:val="32"/>
          <w:lang w:val="en-US" w:eastAsia="zh-CN"/>
        </w:rPr>
        <w:t>和环境治理</w:t>
      </w:r>
      <w:r>
        <w:rPr>
          <w:rFonts w:hint="default" w:ascii="Times New Roman" w:hAnsi="Times New Roman" w:eastAsia="方正仿宋简体" w:cs="Times New Roman"/>
          <w:sz w:val="32"/>
          <w:szCs w:val="32"/>
          <w:lang w:val="en-US" w:eastAsia="zh-CN"/>
        </w:rPr>
        <w:t>。</w:t>
      </w:r>
    </w:p>
    <w:p w14:paraId="4EAF879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简体" w:cs="Times New Roman"/>
          <w:sz w:val="32"/>
          <w:szCs w:val="32"/>
          <w:lang w:val="en-US" w:eastAsia="zh-CN"/>
        </w:rPr>
      </w:pPr>
    </w:p>
    <w:p w14:paraId="595566C8">
      <w:pPr>
        <w:keepNext w:val="0"/>
        <w:keepLines w:val="0"/>
        <w:pageBreakBefore w:val="0"/>
        <w:widowControl w:val="0"/>
        <w:kinsoku/>
        <w:wordWrap/>
        <w:overflowPunct/>
        <w:topLinePunct w:val="0"/>
        <w:autoSpaceDE/>
        <w:autoSpaceDN/>
        <w:bidi w:val="0"/>
        <w:adjustRightInd/>
        <w:snapToGrid/>
        <w:spacing w:line="240" w:lineRule="auto"/>
        <w:jc w:val="both"/>
        <w:rPr>
          <w:rFonts w:hint="eastAsia" w:eastAsia="宋体"/>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789B3">
    <w:pPr>
      <w:pStyle w:val="7"/>
    </w:pPr>
    <w:r>
      <w:rPr>
        <w:sz w:val="18"/>
      </w:rPr>
      <w:drawing>
        <wp:anchor distT="0" distB="0" distL="114300" distR="114300" simplePos="0" relativeHeight="251659264" behindDoc="1" locked="0" layoutInCell="1" allowOverlap="1">
          <wp:simplePos x="0" y="0"/>
          <wp:positionH relativeFrom="margin">
            <wp:posOffset>-1144905</wp:posOffset>
          </wp:positionH>
          <wp:positionV relativeFrom="margin">
            <wp:posOffset>-923290</wp:posOffset>
          </wp:positionV>
          <wp:extent cx="7560945" cy="10730865"/>
          <wp:effectExtent l="0" t="0" r="1905" b="13335"/>
          <wp:wrapNone/>
          <wp:docPr id="1" name="WordPictureWatermark36280"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6280" descr="未命名 -2"/>
                  <pic:cNvPicPr>
                    <a:picLocks noChangeAspect="1"/>
                  </pic:cNvPicPr>
                </pic:nvPicPr>
                <pic:blipFill>
                  <a:blip r:embed="rId1"/>
                  <a:stretch>
                    <a:fillRect/>
                  </a:stretch>
                </pic:blipFill>
                <pic:spPr>
                  <a:xfrm>
                    <a:off x="0" y="0"/>
                    <a:ext cx="7560945" cy="10730865"/>
                  </a:xfrm>
                  <a:prstGeom prst="rect">
                    <a:avLst/>
                  </a:prstGeom>
                  <a:noFill/>
                  <a:ln w="12700">
                    <a:noFill/>
                  </a:ln>
                </pic:spPr>
              </pic:pic>
            </a:graphicData>
          </a:graphic>
        </wp:anchor>
      </w:drawing>
    </w:r>
    <w:r>
      <w:rPr>
        <w:rFonts w:hint="eastAsia"/>
        <w:lang w:val="en-US"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196CFA"/>
    <w:rsid w:val="04A82546"/>
    <w:rsid w:val="071C23B8"/>
    <w:rsid w:val="0AA5392A"/>
    <w:rsid w:val="0E9E448B"/>
    <w:rsid w:val="10B654A8"/>
    <w:rsid w:val="11014D87"/>
    <w:rsid w:val="12A11987"/>
    <w:rsid w:val="137630DD"/>
    <w:rsid w:val="17CA1E00"/>
    <w:rsid w:val="1AD47269"/>
    <w:rsid w:val="1B982D53"/>
    <w:rsid w:val="24767589"/>
    <w:rsid w:val="27E671FD"/>
    <w:rsid w:val="2E08164D"/>
    <w:rsid w:val="317230BB"/>
    <w:rsid w:val="32556305"/>
    <w:rsid w:val="36CF5BF9"/>
    <w:rsid w:val="38A571DA"/>
    <w:rsid w:val="43B2320D"/>
    <w:rsid w:val="45CB1E98"/>
    <w:rsid w:val="49E1414B"/>
    <w:rsid w:val="4BDB4096"/>
    <w:rsid w:val="4BFB3B67"/>
    <w:rsid w:val="4D1E3649"/>
    <w:rsid w:val="4FE457B9"/>
    <w:rsid w:val="508708E6"/>
    <w:rsid w:val="516916B1"/>
    <w:rsid w:val="542A7E2A"/>
    <w:rsid w:val="559D4905"/>
    <w:rsid w:val="55C07237"/>
    <w:rsid w:val="58837702"/>
    <w:rsid w:val="594E3790"/>
    <w:rsid w:val="59ED3F73"/>
    <w:rsid w:val="5AF1625B"/>
    <w:rsid w:val="5B9D664B"/>
    <w:rsid w:val="5E0F20A8"/>
    <w:rsid w:val="5F756060"/>
    <w:rsid w:val="67872926"/>
    <w:rsid w:val="67A45ABC"/>
    <w:rsid w:val="6C0B2EE7"/>
    <w:rsid w:val="6C1A3DE9"/>
    <w:rsid w:val="6CFF5583"/>
    <w:rsid w:val="6DF8049C"/>
    <w:rsid w:val="745E4C68"/>
    <w:rsid w:val="76B13824"/>
    <w:rsid w:val="7D425848"/>
    <w:rsid w:val="7DB6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qFormat/>
    <w:uiPriority w:val="0"/>
    <w:pPr>
      <w:spacing w:line="576" w:lineRule="exact"/>
      <w:ind w:firstLine="631" w:firstLineChars="200"/>
      <w:outlineLvl w:val="0"/>
    </w:pPr>
    <w:rPr>
      <w:rFonts w:eastAsia="方正黑体_GBK"/>
      <w:sz w:val="32"/>
      <w:szCs w:val="32"/>
    </w:rPr>
  </w:style>
  <w:style w:type="paragraph" w:styleId="3">
    <w:name w:val="heading 2"/>
    <w:basedOn w:val="1"/>
    <w:semiHidden/>
    <w:unhideWhenUsed/>
    <w:uiPriority w:val="9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200" w:firstLineChars="200"/>
    </w:pPr>
  </w:style>
  <w:style w:type="paragraph" w:styleId="5">
    <w:name w:val="Body Text Indent"/>
    <w:basedOn w:val="1"/>
    <w:qFormat/>
    <w:uiPriority w:val="0"/>
    <w:pPr>
      <w:spacing w:after="120"/>
      <w:ind w:left="20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Subtitle"/>
    <w:basedOn w:val="1"/>
    <w:link w:val="14"/>
    <w:qFormat/>
    <w:uiPriority w:val="0"/>
    <w:pPr>
      <w:spacing w:line="576" w:lineRule="exact"/>
      <w:ind w:firstLine="631" w:firstLineChars="200"/>
    </w:pPr>
    <w:rPr>
      <w:rFonts w:eastAsia="方正楷体_GBK"/>
      <w:sz w:val="32"/>
      <w:szCs w:val="32"/>
    </w:rPr>
  </w:style>
  <w:style w:type="paragraph" w:styleId="9">
    <w:name w:val="Body Text First Indent 2"/>
    <w:basedOn w:val="5"/>
    <w:qFormat/>
    <w:uiPriority w:val="0"/>
    <w:pPr>
      <w:ind w:firstLine="200" w:firstLineChars="200"/>
    </w:p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14">
    <w:name w:val="副标题 字符"/>
    <w:link w:val="8"/>
    <w:qFormat/>
    <w:uiPriority w:val="0"/>
    <w:rPr>
      <w:rFonts w:eastAsia="方正楷体_GBK"/>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1014</Words>
  <Characters>1058</Characters>
  <Lines>0</Lines>
  <Paragraphs>0</Paragraphs>
  <TotalTime>5</TotalTime>
  <ScaleCrop>false</ScaleCrop>
  <LinksUpToDate>false</LinksUpToDate>
  <CharactersWithSpaces>1060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2022-10-19T04:24:00Z</dcterms:created>
  <dc:creator>小一一   *ૢ</dc:creator>
  <cp:lastModifiedBy>迁℃</cp:lastModifiedBy>
  <dcterms:modified xsi:type="dcterms:W3CDTF">2025-06-23T06:54:22Z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1DDB773276074CB1ACAC41AE57ACE42D</vt:lpwstr>
  </property>
  <property fmtid="{D5CDD505-2E9C-101B-9397-08002B2CF9AE}" pid="4" name="KSOTemplateDocerSaveRecord">
    <vt:lpwstr>eyJoZGlkIjoiMmNjZmYyOGMzYzMzZWNhNjYwNzkzMjllNzA0Mjg0OTgiLCJ1c2VySWQiOiIyNzQyNDU0NzQifQ==</vt:lpwstr>
  </property>
</Properties>
</file>